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PROCLAMATION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Supporting the Annual Ride to Work Day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Whereas</w:t>
      </w: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scooters and motorcycles have a less harmful impact on our infrastructure and </w:t>
        <w:tab/>
        <w:tab/>
        <w:tab/>
        <w:tab/>
        <w:tab/>
        <w:t xml:space="preserve">environment; and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Whereas</w:t>
      </w: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scooters and motorcycles require only a fraction of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space taken by other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ab/>
        <w:tab/>
        <w:t xml:space="preserve">vehicles to park, thereby addressing an ongoing parking shortage; and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Whereas</w:t>
      </w: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the direct and indirect costs of fossil fuels are all continually increasing; and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Whereas</w:t>
      </w: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our road and infrastructure repairs fail to keep up with wear and degradation; </w:t>
        <w:tab/>
        <w:tab/>
        <w:tab/>
        <w:tab/>
        <w:tab/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Whereas</w:t>
      </w: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for these reasons, scooters and motorcycles offer a form of daily transportation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ab/>
        <w:tab/>
        <w:t xml:space="preserve">to be encouraged; and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Whereas</w:t>
      </w: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June 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24,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 has been designated as “Ride To Work Day” to highlight the 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ab/>
        <w:tab/>
        <w:t xml:space="preserve">positive daily use of scooters and motorcycles;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Now, therefore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,  I,  _________________,  Mayor  of  the  City  of __________________ 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 xml:space="preserve">do hereby proclaim June 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, to be Ride to Work Day and to encourage scooter 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 xml:space="preserve">and motorcycle riders to ride to work on that day, and pursuant thereto, do further 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 xml:space="preserve">direct that on June 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 parking at meters and in publicly owned garages in the 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 xml:space="preserve">City of _________________ will be free of charge to motorcycles and scooters in 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ab/>
        <w:tab/>
        <w:t xml:space="preserve">recognition of their utilitarian value and to encourage the daily use of those vehicles.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 xml:space="preserve">In witness whereof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 I have hereunto set my hand and 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 xml:space="preserve">caused the seal of this City to be affixed.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Monaco" w:cs="Monaco" w:eastAsia="Monaco" w:hAnsi="Monaco"/>
          <w:vertAlign w:val="baseline"/>
        </w:rPr>
      </w:pP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 xml:space="preserve">                                 </w:t>
        <w:tab/>
        <w:tab/>
        <w:tab/>
        <w:tab/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Monaco" w:cs="Monaco" w:eastAsia="Monaco" w:hAnsi="Monac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Monaco" w:cs="Monaco" w:eastAsia="Monaco" w:hAnsi="Monaco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</w:t>
      </w:r>
      <w:r w:rsidDel="00000000" w:rsidR="00000000" w:rsidRPr="00000000">
        <w:rPr>
          <w:rFonts w:ascii="Monaco" w:cs="Monaco" w:eastAsia="Monaco" w:hAnsi="Monaco"/>
          <w:rtl w:val="0"/>
        </w:rPr>
        <w:t xml:space="preserve">______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Mayor </w:t>
      </w:r>
    </w:p>
    <w:p w:rsidR="00000000" w:rsidDel="00000000" w:rsidP="00000000" w:rsidRDefault="00000000" w:rsidRPr="00000000" w14:paraId="0000001E">
      <w:pPr>
        <w:ind w:left="4320" w:right="0" w:firstLine="72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June,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aco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  <w:ind w:left="432" w:hanging="432"/>
      <w:jc w:val="left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ind w:left="576" w:hanging="576"/>
      <w:jc w:val="left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  <w:jc w:val="left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60" w:lineRule="auto"/>
      <w:jc w:val="center"/>
    </w:pPr>
    <w:rPr>
      <w:rFonts w:ascii="Arial" w:cs="Arial" w:eastAsia="Arial" w:hAnsi="Arial"/>
      <w:sz w:val="36"/>
      <w:szCs w:val="3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w2NnBBq5DRggpkJq81wzjL3SHQ==">CgMxLjA4AHIhMTRBRDNvUmFadkRKLXJXbUZpS3pvaVljREhWT1FTdWpp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